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4" w:rsidRPr="00B312F8" w:rsidRDefault="00741D64" w:rsidP="00741D64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</w:rPr>
      </w:pPr>
      <w:r w:rsidRPr="00B312F8">
        <w:rPr>
          <w:rFonts w:ascii="Baskerville Old Face" w:eastAsia="Times New Roman" w:hAnsi="Baskerville Old Face" w:cs="Times New Roman"/>
          <w:sz w:val="32"/>
          <w:szCs w:val="32"/>
        </w:rPr>
        <w:t>Annotation Rubric</w:t>
      </w:r>
    </w:p>
    <w:p w:rsidR="00741D64" w:rsidRPr="00B312F8" w:rsidRDefault="00741D64" w:rsidP="00741D64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B312F8">
        <w:rPr>
          <w:rFonts w:ascii="Baskerville Old Face" w:eastAsia="Times New Roman" w:hAnsi="Baskerville Old Face" w:cs="Times New Roman"/>
          <w:sz w:val="24"/>
          <w:szCs w:val="24"/>
        </w:rPr>
        <w:br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05"/>
        <w:gridCol w:w="8308"/>
      </w:tblGrid>
      <w:tr w:rsidR="00741D64" w:rsidRPr="00B312F8" w:rsidTr="00B36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83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Arial"/>
                <w:b w:val="0"/>
                <w:color w:val="000000"/>
                <w:sz w:val="24"/>
                <w:szCs w:val="24"/>
              </w:rPr>
            </w:pPr>
          </w:p>
          <w:p w:rsidR="00741D64" w:rsidRPr="00B368B7" w:rsidRDefault="00741D64" w:rsidP="00575705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b w:val="0"/>
                <w:sz w:val="24"/>
                <w:szCs w:val="24"/>
              </w:rPr>
            </w:pPr>
            <w:r w:rsidRPr="00B368B7">
              <w:rPr>
                <w:rFonts w:ascii="Baskerville Old Face" w:eastAsia="Times New Roman" w:hAnsi="Baskerville Old Face" w:cs="Arial"/>
                <w:b w:val="0"/>
                <w:color w:val="000000"/>
                <w:sz w:val="24"/>
                <w:szCs w:val="24"/>
              </w:rPr>
              <w:t>Genuine insight and original thought, or at least an attempt to fully analyze the text in detail, specific rather than general</w:t>
            </w:r>
            <w:r w:rsidR="002E3AEE">
              <w:rPr>
                <w:rFonts w:ascii="Baskerville Old Face" w:eastAsia="Times New Roman" w:hAnsi="Baskerville Old Face" w:cs="Arial"/>
                <w:b w:val="0"/>
                <w:color w:val="000000"/>
                <w:sz w:val="24"/>
                <w:szCs w:val="24"/>
              </w:rPr>
              <w:t>. Builds cohesive meaning from individual elements</w:t>
            </w:r>
            <w:r w:rsidR="00BE306C">
              <w:rPr>
                <w:rFonts w:ascii="Baskerville Old Face" w:eastAsia="Times New Roman" w:hAnsi="Baskerville Old Face" w:cs="Arial"/>
                <w:b w:val="0"/>
                <w:color w:val="000000"/>
                <w:sz w:val="24"/>
                <w:szCs w:val="24"/>
              </w:rPr>
              <w:t xml:space="preserve"> (i.e</w:t>
            </w:r>
            <w:r w:rsidR="002E3AEE">
              <w:rPr>
                <w:rFonts w:ascii="Baskerville Old Face" w:eastAsia="Times New Roman" w:hAnsi="Baskerville Old Face" w:cs="Arial"/>
                <w:b w:val="0"/>
                <w:color w:val="000000"/>
                <w:sz w:val="24"/>
                <w:szCs w:val="24"/>
              </w:rPr>
              <w:t>.</w:t>
            </w:r>
            <w:r w:rsidR="00BE306C">
              <w:rPr>
                <w:rFonts w:ascii="Baskerville Old Face" w:eastAsia="Times New Roman" w:hAnsi="Baskerville Old Face" w:cs="Arial"/>
                <w:b w:val="0"/>
                <w:color w:val="000000"/>
                <w:sz w:val="24"/>
                <w:szCs w:val="24"/>
              </w:rPr>
              <w:t xml:space="preserve"> what is the text saying about purity/religion/etc. overall)?</w:t>
            </w:r>
          </w:p>
        </w:tc>
      </w:tr>
      <w:tr w:rsidR="00741D64" w:rsidRPr="00B312F8" w:rsidTr="00B3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8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046E14" w:rsidP="00046E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Mostly independent </w:t>
            </w:r>
            <w:r w:rsid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analysis. </w:t>
            </w:r>
            <w:r w:rsidR="00741D64"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Connections between character traits</w:t>
            </w:r>
            <w:r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,</w:t>
            </w:r>
            <w:r w:rsidR="00741D64"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 themes, </w:t>
            </w:r>
            <w:r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and symbols, </w:t>
            </w:r>
            <w:r w:rsidR="00741D64"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rather than plot</w:t>
            </w:r>
          </w:p>
        </w:tc>
      </w:tr>
      <w:tr w:rsidR="00741D64" w:rsidRPr="00B312F8" w:rsidTr="00B368B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8/10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4" w:rsidRPr="00B312F8" w:rsidRDefault="00741D64" w:rsidP="00046E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Large amounts of summary and ide</w:t>
            </w:r>
            <w:r w:rsidR="00046945"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ntifying, some attempts at </w:t>
            </w: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analysis (e.g. “too quiet=trouble” or “fog=ominous”). Commentary without analysis (“Wow, someone’s obsessed with himself”). Basic plot connections without analysis (“The same thing</w:t>
            </w:r>
            <w:r w:rsidR="006941A7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 happened earlier</w:t>
            </w: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”). Some attempt at analysis must be made.</w:t>
            </w:r>
          </w:p>
        </w:tc>
      </w:tr>
      <w:tr w:rsidR="00741D64" w:rsidRPr="00B312F8" w:rsidTr="00B3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Summary (e.g</w:t>
            </w:r>
            <w:r w:rsidR="006941A7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.</w:t>
            </w: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 “Now</w:t>
            </w:r>
            <w:bookmarkStart w:id="0" w:name="_GoBack"/>
            <w:bookmarkEnd w:id="0"/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 he’s back at the dinner table”) or identification (e.g. “simile” or “simile comparing killing </w:t>
            </w:r>
            <w:r w:rsid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and puppies”) without analysis.</w:t>
            </w:r>
          </w:p>
        </w:tc>
      </w:tr>
      <w:tr w:rsidR="00741D64" w:rsidRPr="00B312F8" w:rsidTr="00B368B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B368B7" w:rsidP="00B368B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Inaccurate</w:t>
            </w:r>
            <w:r w:rsidR="00741D64"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, small amount of summary</w:t>
            </w:r>
            <w:r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.</w:t>
            </w:r>
          </w:p>
        </w:tc>
      </w:tr>
      <w:tr w:rsidR="00741D64" w:rsidRPr="00B312F8" w:rsidTr="00B3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8B7" w:rsidRDefault="00B368B7" w:rsidP="00B368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</w:pPr>
          </w:p>
          <w:p w:rsidR="00741D64" w:rsidRPr="00B312F8" w:rsidRDefault="00741D64" w:rsidP="00B368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No </w:t>
            </w:r>
            <w:proofErr w:type="gramStart"/>
            <w:r w:rsidR="00B368B7"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annotations</w:t>
            </w:r>
            <w:r w:rsidR="00B368B7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>,</w:t>
            </w:r>
            <w:proofErr w:type="gramEnd"/>
            <w:r w:rsidRPr="00B312F8">
              <w:rPr>
                <w:rFonts w:ascii="Baskerville Old Face" w:eastAsia="Times New Roman" w:hAnsi="Baskerville Old Face" w:cs="Arial"/>
                <w:color w:val="000000"/>
                <w:sz w:val="24"/>
                <w:szCs w:val="24"/>
              </w:rPr>
              <w:t xml:space="preserve"> or only things we’ve discussed in class.</w:t>
            </w:r>
          </w:p>
        </w:tc>
      </w:tr>
    </w:tbl>
    <w:p w:rsidR="00800561" w:rsidRPr="00B312F8" w:rsidRDefault="00800561">
      <w:pPr>
        <w:rPr>
          <w:rFonts w:ascii="Baskerville Old Face" w:hAnsi="Baskerville Old Face"/>
          <w:sz w:val="24"/>
          <w:szCs w:val="24"/>
        </w:rPr>
      </w:pPr>
    </w:p>
    <w:sectPr w:rsidR="00800561" w:rsidRPr="00B3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4"/>
    <w:rsid w:val="00046945"/>
    <w:rsid w:val="00046E14"/>
    <w:rsid w:val="000D0E55"/>
    <w:rsid w:val="002E3AEE"/>
    <w:rsid w:val="00545992"/>
    <w:rsid w:val="00575705"/>
    <w:rsid w:val="006941A7"/>
    <w:rsid w:val="00741D64"/>
    <w:rsid w:val="00800561"/>
    <w:rsid w:val="00B269FF"/>
    <w:rsid w:val="00B312F8"/>
    <w:rsid w:val="00B368B7"/>
    <w:rsid w:val="00BE306C"/>
    <w:rsid w:val="00C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368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368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3</cp:revision>
  <cp:lastPrinted>2015-04-06T19:02:00Z</cp:lastPrinted>
  <dcterms:created xsi:type="dcterms:W3CDTF">2015-04-06T19:01:00Z</dcterms:created>
  <dcterms:modified xsi:type="dcterms:W3CDTF">2015-04-06T19:03:00Z</dcterms:modified>
</cp:coreProperties>
</file>