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pPr w:leftFromText="180" w:rightFromText="180" w:vertAnchor="page" w:horzAnchor="margin" w:tblpXSpec="center" w:tblpY="1186"/>
        <w:tblW w:w="9966" w:type="dxa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4"/>
      </w:tblGrid>
      <w:tr w:rsidR="00B75E89" w:rsidRPr="00682971" w:rsidTr="00455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A6A6A6" w:themeFill="background1" w:themeFillShade="A6"/>
          </w:tcPr>
          <w:p w:rsidR="00B75E89" w:rsidRPr="00B75E89" w:rsidRDefault="00B75E89" w:rsidP="004556C0">
            <w:pPr>
              <w:jc w:val="center"/>
            </w:pPr>
            <w:r w:rsidRPr="00B75E89">
              <w:t>Monday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:rsidR="00B75E89" w:rsidRPr="00B75E89" w:rsidRDefault="00B75E89" w:rsidP="0045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5E89">
              <w:t>Tuesday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:rsidR="00B75E89" w:rsidRPr="00B75E89" w:rsidRDefault="00B75E89" w:rsidP="0045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5E89">
              <w:t>Wednesday</w:t>
            </w:r>
          </w:p>
        </w:tc>
        <w:tc>
          <w:tcPr>
            <w:tcW w:w="1993" w:type="dxa"/>
            <w:shd w:val="clear" w:color="auto" w:fill="A6A6A6" w:themeFill="background1" w:themeFillShade="A6"/>
          </w:tcPr>
          <w:p w:rsidR="00B75E89" w:rsidRPr="00B75E89" w:rsidRDefault="00B75E89" w:rsidP="0045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5E89">
              <w:t>Thursday</w:t>
            </w:r>
          </w:p>
        </w:tc>
        <w:tc>
          <w:tcPr>
            <w:tcW w:w="1994" w:type="dxa"/>
            <w:shd w:val="clear" w:color="auto" w:fill="A6A6A6" w:themeFill="background1" w:themeFillShade="A6"/>
          </w:tcPr>
          <w:p w:rsidR="00B75E89" w:rsidRPr="00B75E89" w:rsidRDefault="00B75E89" w:rsidP="004556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5E89">
              <w:t>Friday</w:t>
            </w:r>
          </w:p>
        </w:tc>
      </w:tr>
      <w:tr w:rsidR="00B75E89" w:rsidRPr="00682971" w:rsidTr="0045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B75E89">
              <w:rPr>
                <w:rFonts w:asciiTheme="minorHAnsi" w:hAnsiTheme="minorHAnsi"/>
                <w:b w:val="0"/>
              </w:rPr>
              <w:t>2/3</w:t>
            </w:r>
          </w:p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2/4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Comp. Lab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2/5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Comp. Lab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2/6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</w:rPr>
              <w:t>THESIS CONSTRUCTION WORKSHEET AND DEFINITION</w:t>
            </w:r>
            <w:r>
              <w:rPr>
                <w:b/>
              </w:rPr>
              <w:t xml:space="preserve"> </w:t>
            </w:r>
            <w:r w:rsidRPr="00B75E89">
              <w:rPr>
                <w:b/>
              </w:rPr>
              <w:t xml:space="preserve"> DEFENSE DUE</w:t>
            </w:r>
          </w:p>
        </w:tc>
        <w:tc>
          <w:tcPr>
            <w:tcW w:w="1994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2/7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</w:rPr>
              <w:t xml:space="preserve">THESIS CONSTRUCTION WORKSHEET AND DEFINTION 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</w:rPr>
              <w:t>DEFENSE DUE</w:t>
            </w:r>
          </w:p>
        </w:tc>
      </w:tr>
      <w:tr w:rsidR="00B75E89" w:rsidRPr="00682971" w:rsidTr="00455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B75E89">
              <w:rPr>
                <w:rFonts w:asciiTheme="minorHAnsi" w:hAnsiTheme="minorHAnsi"/>
                <w:b w:val="0"/>
              </w:rPr>
              <w:t>2/10</w:t>
            </w:r>
          </w:p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B75E89">
              <w:rPr>
                <w:rFonts w:asciiTheme="minorHAnsi" w:hAnsiTheme="minorHAnsi"/>
                <w:b w:val="0"/>
              </w:rPr>
              <w:t>Comp. Lab</w:t>
            </w:r>
          </w:p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</w:p>
          <w:p w:rsidR="00B75E89" w:rsidRPr="00B75E89" w:rsidRDefault="00B75E89" w:rsidP="004556C0">
            <w:pPr>
              <w:jc w:val="center"/>
              <w:rPr>
                <w:rFonts w:asciiTheme="minorHAnsi" w:hAnsiTheme="minorHAnsi"/>
              </w:rPr>
            </w:pPr>
            <w:r w:rsidRPr="00B75E89">
              <w:rPr>
                <w:rFonts w:asciiTheme="minorHAnsi" w:hAnsiTheme="minorHAnsi"/>
              </w:rPr>
              <w:t>FULL THESIS AND OUTLINE DUE</w:t>
            </w:r>
          </w:p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2/11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Comp. Lab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</w:rPr>
              <w:t>FULL THESIS AND OUTLINE DUE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2/12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2/13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2/14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 xml:space="preserve">Ch. 3 of </w:t>
            </w:r>
            <w:r w:rsidRPr="00B75E89">
              <w:rPr>
                <w:i/>
              </w:rPr>
              <w:t>David and Goliath</w:t>
            </w:r>
            <w:r w:rsidRPr="00B75E89">
              <w:t xml:space="preserve"> Due</w:t>
            </w:r>
          </w:p>
        </w:tc>
      </w:tr>
      <w:tr w:rsidR="00B75E89" w:rsidRPr="00682971" w:rsidTr="0045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B75E89">
              <w:rPr>
                <w:rFonts w:asciiTheme="minorHAnsi" w:hAnsiTheme="minorHAnsi"/>
                <w:b w:val="0"/>
              </w:rPr>
              <w:t>2/17</w:t>
            </w:r>
          </w:p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B75E89">
              <w:rPr>
                <w:rFonts w:asciiTheme="minorHAnsi" w:hAnsiTheme="minorHAnsi"/>
                <w:b w:val="0"/>
              </w:rPr>
              <w:t xml:space="preserve">Ch. 3 of </w:t>
            </w:r>
            <w:r w:rsidRPr="00B75E89">
              <w:rPr>
                <w:rFonts w:asciiTheme="minorHAnsi" w:hAnsiTheme="minorHAnsi"/>
                <w:b w:val="0"/>
                <w:i/>
              </w:rPr>
              <w:t>David and Goliath</w:t>
            </w:r>
            <w:r w:rsidRPr="00B75E89">
              <w:rPr>
                <w:rFonts w:asciiTheme="minorHAnsi" w:hAnsiTheme="minorHAnsi"/>
                <w:b w:val="0"/>
              </w:rPr>
              <w:t xml:space="preserve"> Due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2/18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2/19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Comp. Lab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2/20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Comp. Lab</w:t>
            </w: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2/21</w:t>
            </w:r>
          </w:p>
          <w:p w:rsid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</w:rPr>
              <w:t>COMPLETE PAPER DUE</w:t>
            </w:r>
          </w:p>
          <w:p w:rsidR="00E729B7" w:rsidRDefault="00E729B7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729B7" w:rsidRPr="00B75E89" w:rsidRDefault="00E729B7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75E89">
              <w:t xml:space="preserve">Ch. 4 of </w:t>
            </w:r>
            <w:r w:rsidRPr="00B75E89">
              <w:rPr>
                <w:i/>
              </w:rPr>
              <w:t>David and Goliath</w:t>
            </w:r>
            <w:r w:rsidRPr="00B75E89">
              <w:t xml:space="preserve"> Due</w:t>
            </w:r>
          </w:p>
        </w:tc>
      </w:tr>
      <w:tr w:rsidR="00B75E89" w:rsidRPr="00682971" w:rsidTr="00455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B75E89">
              <w:rPr>
                <w:rFonts w:asciiTheme="minorHAnsi" w:hAnsiTheme="minorHAnsi"/>
                <w:b w:val="0"/>
              </w:rPr>
              <w:t>2/24</w:t>
            </w:r>
          </w:p>
          <w:p w:rsidR="00B75E89" w:rsidRDefault="00B75E89" w:rsidP="004556C0">
            <w:pPr>
              <w:jc w:val="center"/>
              <w:rPr>
                <w:rFonts w:asciiTheme="minorHAnsi" w:hAnsiTheme="minorHAnsi"/>
              </w:rPr>
            </w:pPr>
            <w:r w:rsidRPr="00B75E89">
              <w:rPr>
                <w:rFonts w:asciiTheme="minorHAnsi" w:hAnsiTheme="minorHAnsi"/>
              </w:rPr>
              <w:t>COMPLETE PAPER DUE</w:t>
            </w:r>
          </w:p>
          <w:p w:rsidR="00E729B7" w:rsidRDefault="00E729B7" w:rsidP="004556C0">
            <w:pPr>
              <w:jc w:val="center"/>
              <w:rPr>
                <w:rFonts w:asciiTheme="minorHAnsi" w:hAnsiTheme="minorHAnsi"/>
              </w:rPr>
            </w:pPr>
          </w:p>
          <w:p w:rsidR="00E729B7" w:rsidRPr="00E729B7" w:rsidRDefault="00E729B7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E729B7">
              <w:rPr>
                <w:b w:val="0"/>
              </w:rPr>
              <w:t xml:space="preserve">Ch. 4 of </w:t>
            </w:r>
            <w:r w:rsidRPr="00E729B7">
              <w:rPr>
                <w:b w:val="0"/>
                <w:i/>
              </w:rPr>
              <w:t>David and Goliath</w:t>
            </w:r>
            <w:r w:rsidRPr="00E729B7">
              <w:rPr>
                <w:b w:val="0"/>
              </w:rPr>
              <w:t xml:space="preserve"> Due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2/25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  <w:i/>
              </w:rPr>
              <w:t>David and Goliath</w:t>
            </w:r>
            <w:r w:rsidRPr="00B75E89">
              <w:rPr>
                <w:b/>
              </w:rPr>
              <w:t xml:space="preserve"> Test Pt. I</w:t>
            </w:r>
            <w:r w:rsidR="004556C0">
              <w:rPr>
                <w:b/>
              </w:rPr>
              <w:t>—Diction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2/26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rPr>
                <w:b/>
                <w:i/>
              </w:rPr>
              <w:t>David and Goliath</w:t>
            </w:r>
            <w:r w:rsidRPr="00B75E89">
              <w:rPr>
                <w:b/>
              </w:rPr>
              <w:t xml:space="preserve"> Test Pt. I</w:t>
            </w:r>
            <w:r w:rsidR="004556C0">
              <w:rPr>
                <w:b/>
              </w:rPr>
              <w:t>—Diction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2/27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  <w:i/>
              </w:rPr>
              <w:t>David and Goliath</w:t>
            </w:r>
            <w:r w:rsidRPr="00B75E89">
              <w:rPr>
                <w:b/>
              </w:rPr>
              <w:t xml:space="preserve"> Test Pt. II</w:t>
            </w:r>
            <w:r w:rsidR="004556C0">
              <w:rPr>
                <w:b/>
              </w:rPr>
              <w:t xml:space="preserve">—Syntax 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Last day to turn in Choice Novel Annotations</w:t>
            </w:r>
          </w:p>
        </w:tc>
        <w:tc>
          <w:tcPr>
            <w:tcW w:w="1994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2/28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75E89">
              <w:rPr>
                <w:b/>
                <w:i/>
              </w:rPr>
              <w:t>David and Goliath</w:t>
            </w:r>
            <w:r w:rsidRPr="00B75E89">
              <w:rPr>
                <w:b/>
              </w:rPr>
              <w:t xml:space="preserve"> Test Pt. II</w:t>
            </w:r>
            <w:r w:rsidR="004556C0">
              <w:rPr>
                <w:b/>
              </w:rPr>
              <w:t xml:space="preserve">—Syntax </w:t>
            </w:r>
          </w:p>
          <w:p w:rsidR="00B75E89" w:rsidRPr="00B75E89" w:rsidRDefault="00B75E89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5E89">
              <w:t>Last day to turn in Choice Novel Annotations</w:t>
            </w:r>
          </w:p>
        </w:tc>
      </w:tr>
      <w:tr w:rsidR="00B75E89" w:rsidRPr="00682971" w:rsidTr="00455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D9D9D9" w:themeFill="background1" w:themeFillShade="D9"/>
          </w:tcPr>
          <w:p w:rsidR="00B75E89" w:rsidRPr="00617F97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617F97">
              <w:rPr>
                <w:rFonts w:asciiTheme="minorHAnsi" w:hAnsiTheme="minorHAnsi"/>
                <w:b w:val="0"/>
              </w:rPr>
              <w:t>3/3</w:t>
            </w:r>
          </w:p>
          <w:p w:rsidR="00B75E89" w:rsidRPr="00617F97" w:rsidRDefault="00B75E89" w:rsidP="0034299D">
            <w:pPr>
              <w:rPr>
                <w:rFonts w:asciiTheme="minorHAnsi" w:hAnsiTheme="minorHAnsi"/>
                <w:b w:val="0"/>
              </w:rPr>
            </w:pPr>
          </w:p>
          <w:p w:rsidR="00B75E89" w:rsidRPr="00617F97" w:rsidRDefault="00B75E89" w:rsidP="004556C0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617F97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F97">
              <w:t>3/4</w:t>
            </w:r>
          </w:p>
          <w:p w:rsidR="00B75E89" w:rsidRPr="00617F97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5E89" w:rsidRPr="00617F97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3/5</w:t>
            </w:r>
          </w:p>
          <w:p w:rsidR="00B75E89" w:rsidRPr="00B75E89" w:rsidRDefault="0034299D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7F97">
              <w:t>Last day to take Choice Novel Quizzes</w:t>
            </w:r>
            <w:r>
              <w:rPr>
                <w:b/>
              </w:rPr>
              <w:t xml:space="preserve"> in class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3/6</w:t>
            </w:r>
          </w:p>
          <w:p w:rsidR="00B75E89" w:rsidRPr="00B75E89" w:rsidRDefault="0034299D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F97">
              <w:t xml:space="preserve">Last day to take Choice Novel </w:t>
            </w:r>
            <w:r w:rsidRPr="0034299D">
              <w:t>Quizzes</w:t>
            </w:r>
            <w:r w:rsidRPr="0034299D">
              <w:rPr>
                <w:b/>
              </w:rPr>
              <w:t xml:space="preserve"> in class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B75E89" w:rsidRPr="00B75E89" w:rsidRDefault="00B75E89" w:rsidP="00455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5E89">
              <w:t>3/7</w:t>
            </w:r>
          </w:p>
        </w:tc>
      </w:tr>
      <w:tr w:rsidR="00C27C0D" w:rsidRPr="00682971" w:rsidTr="00455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  <w:shd w:val="clear" w:color="auto" w:fill="D9D9D9" w:themeFill="background1" w:themeFillShade="D9"/>
          </w:tcPr>
          <w:p w:rsidR="00C27C0D" w:rsidRPr="00C27C0D" w:rsidRDefault="00C27C0D" w:rsidP="004556C0">
            <w:pPr>
              <w:jc w:val="center"/>
              <w:rPr>
                <w:rFonts w:asciiTheme="minorHAnsi" w:hAnsiTheme="minorHAnsi"/>
                <w:b w:val="0"/>
              </w:rPr>
            </w:pPr>
            <w:r w:rsidRPr="00C27C0D">
              <w:rPr>
                <w:rFonts w:asciiTheme="minorHAnsi" w:hAnsiTheme="minorHAnsi"/>
                <w:b w:val="0"/>
              </w:rPr>
              <w:t>3/10</w:t>
            </w:r>
          </w:p>
          <w:p w:rsidR="00C27C0D" w:rsidRDefault="00C27C0D" w:rsidP="004556C0">
            <w:pPr>
              <w:jc w:val="center"/>
              <w:rPr>
                <w:rFonts w:asciiTheme="minorHAnsi" w:hAnsiTheme="minorHAnsi"/>
              </w:rPr>
            </w:pPr>
            <w:r w:rsidRPr="00C27C0D">
              <w:rPr>
                <w:rFonts w:asciiTheme="minorHAnsi" w:hAnsiTheme="minorHAnsi"/>
              </w:rPr>
              <w:t>RESEARCH PAPER  FINAL DRAFT DUE</w:t>
            </w:r>
          </w:p>
          <w:p w:rsidR="00C27C0D" w:rsidRPr="00C27C0D" w:rsidRDefault="00C27C0D" w:rsidP="004556C0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BY MIDNIGHT TO SAFEASSIGN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C27C0D" w:rsidRPr="00617F97" w:rsidRDefault="00C27C0D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3/11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:rsidR="00C27C0D" w:rsidRPr="00B75E89" w:rsidRDefault="00C27C0D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3/12</w:t>
            </w:r>
          </w:p>
        </w:tc>
        <w:tc>
          <w:tcPr>
            <w:tcW w:w="1993" w:type="dxa"/>
            <w:shd w:val="clear" w:color="auto" w:fill="548DD4" w:themeFill="text2" w:themeFillTint="99"/>
          </w:tcPr>
          <w:p w:rsidR="00C27C0D" w:rsidRPr="00B75E89" w:rsidRDefault="00C27C0D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  <w:bookmarkStart w:id="0" w:name="_GoBack"/>
            <w:bookmarkEnd w:id="0"/>
            <w:r>
              <w:t>/13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C27C0D" w:rsidRPr="00B75E89" w:rsidRDefault="00C27C0D" w:rsidP="004556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3/14</w:t>
            </w:r>
          </w:p>
        </w:tc>
      </w:tr>
    </w:tbl>
    <w:p w:rsidR="00B75E89" w:rsidRDefault="00C67B40" w:rsidP="00B75E89">
      <w:pPr>
        <w:spacing w:after="0"/>
        <w:rPr>
          <w:b/>
        </w:rPr>
      </w:pPr>
      <w:r>
        <w:rPr>
          <w:b/>
        </w:rPr>
        <w:t>Assignment Details:</w:t>
      </w:r>
    </w:p>
    <w:p w:rsidR="00C67B40" w:rsidRDefault="00C67B40" w:rsidP="00B75E89">
      <w:pPr>
        <w:spacing w:after="0"/>
      </w:pPr>
      <w:r>
        <w:rPr>
          <w:b/>
        </w:rPr>
        <w:t>Complete Paper</w:t>
      </w:r>
      <w:r>
        <w:t>—</w:t>
      </w:r>
      <w:proofErr w:type="gramStart"/>
      <w:r>
        <w:t>While</w:t>
      </w:r>
      <w:proofErr w:type="gramEnd"/>
      <w:r>
        <w:t xml:space="preserve"> this is only a first draft, you must have all 5-7 pages complete</w:t>
      </w:r>
      <w:r w:rsidR="00617F97">
        <w:t>d</w:t>
      </w:r>
      <w:r>
        <w:t xml:space="preserve"> at this time. This d</w:t>
      </w:r>
      <w:r w:rsidR="00D4749D">
        <w:t>raft will count as two grades, o</w:t>
      </w:r>
      <w:r>
        <w:t xml:space="preserve">ne </w:t>
      </w:r>
      <w:r w:rsidR="00617F97">
        <w:t>based on completion: you either</w:t>
      </w:r>
      <w:r w:rsidR="00D4749D">
        <w:t xml:space="preserve"> get 100% or 0%, and t</w:t>
      </w:r>
      <w:r>
        <w:t>he</w:t>
      </w:r>
      <w:r w:rsidR="00D4749D">
        <w:t xml:space="preserve"> other</w:t>
      </w:r>
      <w:r w:rsidR="00617F97">
        <w:t xml:space="preserve"> based on quality:</w:t>
      </w:r>
      <w:r>
        <w:t xml:space="preserve"> I will grade one paragraph </w:t>
      </w:r>
      <w:r w:rsidR="00B75E89">
        <w:t xml:space="preserve">from anywhere in </w:t>
      </w:r>
      <w:r w:rsidR="00617F97">
        <w:t>your</w:t>
      </w:r>
      <w:r w:rsidR="00B75E89">
        <w:t xml:space="preserve"> essay. These</w:t>
      </w:r>
      <w:r>
        <w:t xml:space="preserve"> grade</w:t>
      </w:r>
      <w:r w:rsidR="00B75E89">
        <w:t>s</w:t>
      </w:r>
      <w:r>
        <w:t xml:space="preserve"> will count </w:t>
      </w:r>
      <w:r w:rsidR="00B75E89">
        <w:t>as</w:t>
      </w:r>
      <w:r>
        <w:t xml:space="preserve"> quiz grade</w:t>
      </w:r>
      <w:r w:rsidR="00B75E89">
        <w:t>s</w:t>
      </w:r>
      <w:r>
        <w:t xml:space="preserve">. </w:t>
      </w:r>
      <w:r w:rsidR="00D4749D">
        <w:t>Unprepared students will call home.</w:t>
      </w:r>
    </w:p>
    <w:p w:rsidR="00B75E89" w:rsidRDefault="00B75E89" w:rsidP="00B75E89">
      <w:pPr>
        <w:spacing w:after="0"/>
        <w:rPr>
          <w:b/>
        </w:rPr>
      </w:pPr>
    </w:p>
    <w:p w:rsidR="00B75E89" w:rsidRDefault="00B75E89" w:rsidP="00B75E89">
      <w:pPr>
        <w:spacing w:after="0"/>
      </w:pPr>
      <w:r>
        <w:rPr>
          <w:b/>
        </w:rPr>
        <w:t>Choice Novel Annotations and Quiz</w:t>
      </w:r>
      <w:r>
        <w:t>—Annotations will not be accepted after the 28</w:t>
      </w:r>
      <w:r w:rsidRPr="00B75E89">
        <w:rPr>
          <w:vertAlign w:val="superscript"/>
        </w:rPr>
        <w:t>th</w:t>
      </w:r>
      <w:r>
        <w:t>; if you fail to turn your annotations in by that date, you will receive a 0 on both your Choice Novel Annotations and your Choice Novel Quiz.</w:t>
      </w:r>
    </w:p>
    <w:p w:rsidR="00B75E89" w:rsidRDefault="00B75E89" w:rsidP="00B75E89">
      <w:pPr>
        <w:spacing w:after="0"/>
        <w:rPr>
          <w:b/>
        </w:rPr>
      </w:pPr>
    </w:p>
    <w:p w:rsidR="00B75E89" w:rsidRPr="00B75E89" w:rsidRDefault="00B75E89" w:rsidP="00B75E89">
      <w:pPr>
        <w:spacing w:after="0"/>
      </w:pPr>
      <w:r>
        <w:rPr>
          <w:b/>
        </w:rPr>
        <w:t>Research Paper Final Draft—</w:t>
      </w:r>
      <w:proofErr w:type="gramStart"/>
      <w:r>
        <w:t>As</w:t>
      </w:r>
      <w:proofErr w:type="gramEnd"/>
      <w:r>
        <w:t xml:space="preserve"> always, late papers will be 10% off per class they are late, and </w:t>
      </w:r>
      <w:r w:rsidRPr="002E3A86">
        <w:rPr>
          <w:b/>
        </w:rPr>
        <w:t>late papers cannot be re-written</w:t>
      </w:r>
      <w:r>
        <w:t>. You will be required to turn in all drafts and peer editing material</w:t>
      </w:r>
      <w:r w:rsidR="00C27C0D">
        <w:t>,</w:t>
      </w:r>
      <w:r>
        <w:t xml:space="preserve"> stapled together and ready to hand in </w:t>
      </w:r>
      <w:r>
        <w:rPr>
          <w:b/>
        </w:rPr>
        <w:t>as you walk through the door</w:t>
      </w:r>
      <w:r>
        <w:t>.  If you have not turned in every other related assignment (</w:t>
      </w:r>
      <w:r w:rsidR="002E3A86">
        <w:t>the bolded assignments</w:t>
      </w:r>
      <w:r>
        <w:t xml:space="preserve"> listed above), your paper </w:t>
      </w:r>
      <w:r>
        <w:rPr>
          <w:b/>
        </w:rPr>
        <w:t>will not be accepted</w:t>
      </w:r>
      <w:r>
        <w:t xml:space="preserve"> until they are turned in. Even </w:t>
      </w:r>
      <w:r w:rsidR="00617F97">
        <w:t xml:space="preserve">if your paper is ready to be turned in on the due date, </w:t>
      </w:r>
      <w:r w:rsidR="002E3A86">
        <w:t xml:space="preserve">it </w:t>
      </w:r>
      <w:r w:rsidR="00617F97">
        <w:t xml:space="preserve">will not be accepted, and therefore </w:t>
      </w:r>
      <w:r w:rsidR="002E3A86">
        <w:t xml:space="preserve">be </w:t>
      </w:r>
      <w:r w:rsidR="00617F97">
        <w:t xml:space="preserve">marked late and ineligible to rewrite, if you have any other missing assignments. </w:t>
      </w:r>
    </w:p>
    <w:sectPr w:rsidR="00B75E89" w:rsidRPr="00B75E89" w:rsidSect="00C67B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6F" w:rsidRDefault="0067426F" w:rsidP="00BD1D92">
      <w:pPr>
        <w:spacing w:after="0"/>
      </w:pPr>
      <w:r>
        <w:separator/>
      </w:r>
    </w:p>
  </w:endnote>
  <w:endnote w:type="continuationSeparator" w:id="0">
    <w:p w:rsidR="0067426F" w:rsidRDefault="0067426F" w:rsidP="00BD1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6F" w:rsidRDefault="0067426F" w:rsidP="00BD1D92">
      <w:pPr>
        <w:spacing w:after="0"/>
      </w:pPr>
      <w:r>
        <w:separator/>
      </w:r>
    </w:p>
  </w:footnote>
  <w:footnote w:type="continuationSeparator" w:id="0">
    <w:p w:rsidR="0067426F" w:rsidRDefault="0067426F" w:rsidP="00BD1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92" w:rsidRPr="00C67B40" w:rsidRDefault="00C67B40" w:rsidP="00C67B40">
    <w:pPr>
      <w:pStyle w:val="Header"/>
      <w:jc w:val="center"/>
      <w:rPr>
        <w:b/>
        <w:sz w:val="32"/>
      </w:rPr>
    </w:pPr>
    <w:r>
      <w:rPr>
        <w:b/>
        <w:sz w:val="32"/>
      </w:rPr>
      <w:t>Choice Novel Due Date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69"/>
    <w:rsid w:val="00143DCF"/>
    <w:rsid w:val="00164B69"/>
    <w:rsid w:val="00257D8B"/>
    <w:rsid w:val="002E3A86"/>
    <w:rsid w:val="0034299D"/>
    <w:rsid w:val="004556C0"/>
    <w:rsid w:val="00606DEA"/>
    <w:rsid w:val="00617F97"/>
    <w:rsid w:val="0067426F"/>
    <w:rsid w:val="00682971"/>
    <w:rsid w:val="007362F5"/>
    <w:rsid w:val="007726E2"/>
    <w:rsid w:val="0084047D"/>
    <w:rsid w:val="0095252C"/>
    <w:rsid w:val="00A3266F"/>
    <w:rsid w:val="00AD24E9"/>
    <w:rsid w:val="00B75E89"/>
    <w:rsid w:val="00BD1D92"/>
    <w:rsid w:val="00BE5F16"/>
    <w:rsid w:val="00BF5C48"/>
    <w:rsid w:val="00C27C0D"/>
    <w:rsid w:val="00C67B40"/>
    <w:rsid w:val="00D4749D"/>
    <w:rsid w:val="00D879F4"/>
    <w:rsid w:val="00E729B7"/>
    <w:rsid w:val="00F01326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64B6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1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1D92"/>
  </w:style>
  <w:style w:type="paragraph" w:styleId="Footer">
    <w:name w:val="footer"/>
    <w:basedOn w:val="Normal"/>
    <w:link w:val="FooterChar"/>
    <w:uiPriority w:val="99"/>
    <w:unhideWhenUsed/>
    <w:rsid w:val="00BD1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1D92"/>
  </w:style>
  <w:style w:type="paragraph" w:styleId="BalloonText">
    <w:name w:val="Balloon Text"/>
    <w:basedOn w:val="Normal"/>
    <w:link w:val="BalloonTextChar"/>
    <w:uiPriority w:val="99"/>
    <w:semiHidden/>
    <w:unhideWhenUsed/>
    <w:rsid w:val="00BD1D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64B69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1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1D92"/>
  </w:style>
  <w:style w:type="paragraph" w:styleId="Footer">
    <w:name w:val="footer"/>
    <w:basedOn w:val="Normal"/>
    <w:link w:val="FooterChar"/>
    <w:uiPriority w:val="99"/>
    <w:unhideWhenUsed/>
    <w:rsid w:val="00BD1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1D92"/>
  </w:style>
  <w:style w:type="paragraph" w:styleId="BalloonText">
    <w:name w:val="Balloon Text"/>
    <w:basedOn w:val="Normal"/>
    <w:link w:val="BalloonTextChar"/>
    <w:uiPriority w:val="99"/>
    <w:semiHidden/>
    <w:unhideWhenUsed/>
    <w:rsid w:val="00BD1D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2014-01-31T00:46:00Z</dcterms:created>
  <dcterms:modified xsi:type="dcterms:W3CDTF">2014-03-03T02:12:00Z</dcterms:modified>
</cp:coreProperties>
</file>