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DA7" w:rsidRDefault="00FC390D" w:rsidP="00FC390D">
      <w:pPr>
        <w:jc w:val="center"/>
        <w:rPr>
          <w:rFonts w:ascii="Baskerville Old Face" w:hAnsi="Baskerville Old Face"/>
          <w:b/>
          <w:sz w:val="28"/>
        </w:rPr>
      </w:pPr>
      <w:r w:rsidRPr="00FC390D">
        <w:rPr>
          <w:rFonts w:ascii="Baskerville Old Face" w:hAnsi="Baskerville Old Face"/>
          <w:b/>
          <w:sz w:val="28"/>
        </w:rPr>
        <w:t xml:space="preserve">Lyric Analysis </w:t>
      </w:r>
      <w:r w:rsidRPr="00FC390D">
        <w:rPr>
          <w:rFonts w:ascii="Baskerville Old Face" w:hAnsi="Baskerville Old Face"/>
          <w:b/>
          <w:sz w:val="28"/>
        </w:rPr>
        <w:t>Sample</w:t>
      </w:r>
      <w:r w:rsidRPr="00FC390D">
        <w:rPr>
          <w:rFonts w:ascii="Baskerville Old Face" w:hAnsi="Baskerville Old Face"/>
          <w:b/>
          <w:sz w:val="28"/>
        </w:rPr>
        <w:t xml:space="preserve"> Mini-Essay</w:t>
      </w:r>
    </w:p>
    <w:p w:rsidR="00FC390D" w:rsidRPr="00FC390D" w:rsidRDefault="00FC390D" w:rsidP="00FC390D">
      <w:pPr>
        <w:jc w:val="center"/>
        <w:rPr>
          <w:rFonts w:ascii="Baskerville Old Face" w:hAnsi="Baskerville Old Face"/>
          <w:b/>
          <w:sz w:val="28"/>
        </w:rPr>
      </w:pPr>
      <w:bookmarkStart w:id="0" w:name="_GoBack"/>
      <w:bookmarkEnd w:id="0"/>
    </w:p>
    <w:p w:rsidR="00E617BD" w:rsidRDefault="00E617BD" w:rsidP="00E617BD">
      <w:pPr>
        <w:rPr>
          <w:rFonts w:ascii="Baskerville Old Face" w:hAnsi="Baskerville Old Face"/>
          <w:b/>
          <w:sz w:val="24"/>
        </w:rPr>
      </w:pPr>
      <w:r>
        <w:rPr>
          <w:rFonts w:ascii="Baskerville Old Face" w:hAnsi="Baskerville Old Face"/>
          <w:b/>
          <w:sz w:val="24"/>
        </w:rPr>
        <w:t xml:space="preserve">Sample </w:t>
      </w:r>
      <w:r>
        <w:rPr>
          <w:rFonts w:ascii="Baskerville Old Face" w:hAnsi="Baskerville Old Face"/>
          <w:b/>
          <w:sz w:val="24"/>
        </w:rPr>
        <w:t>Introduction:</w:t>
      </w:r>
    </w:p>
    <w:p w:rsidR="00E617BD" w:rsidRDefault="00E617BD" w:rsidP="00E617BD">
      <w:pPr>
        <w:rPr>
          <w:rFonts w:ascii="Baskerville Old Face" w:hAnsi="Baskerville Old Face"/>
          <w:sz w:val="24"/>
        </w:rPr>
      </w:pPr>
      <w:r>
        <w:rPr>
          <w:rFonts w:ascii="Baskerville Old Face" w:hAnsi="Baskerville Old Face"/>
          <w:sz w:val="24"/>
        </w:rPr>
        <w:t xml:space="preserve">There is no more cliché question than “What is life?” However, Walk the Moon manages to breathe new life into this age-old inquiry in their song </w:t>
      </w:r>
      <w:r>
        <w:rPr>
          <w:rFonts w:ascii="Baskerville Old Face" w:hAnsi="Baskerville Old Face"/>
          <w:i/>
          <w:sz w:val="24"/>
        </w:rPr>
        <w:t>Shut up and Dance</w:t>
      </w:r>
      <w:r>
        <w:rPr>
          <w:rFonts w:ascii="Baskerville Old Face" w:hAnsi="Baskerville Old Face"/>
          <w:sz w:val="24"/>
        </w:rPr>
        <w:t xml:space="preserve">. Their answer is to stop questioning: living means </w:t>
      </w:r>
      <w:r>
        <w:rPr>
          <w:rFonts w:ascii="Baskerville Old Face" w:hAnsi="Baskerville Old Face"/>
          <w:sz w:val="24"/>
        </w:rPr>
        <w:t>letting go of mental control.</w:t>
      </w:r>
    </w:p>
    <w:p w:rsidR="00E617BD" w:rsidRDefault="00E617BD" w:rsidP="00E617BD">
      <w:pPr>
        <w:rPr>
          <w:rFonts w:ascii="Baskerville Old Face" w:hAnsi="Baskerville Old Face"/>
          <w:b/>
          <w:sz w:val="24"/>
        </w:rPr>
      </w:pPr>
      <w:r>
        <w:rPr>
          <w:rFonts w:ascii="Baskerville Old Face" w:hAnsi="Baskerville Old Face"/>
          <w:b/>
          <w:sz w:val="24"/>
        </w:rPr>
        <w:t>Sample Body Paragraph</w:t>
      </w:r>
      <w:r>
        <w:rPr>
          <w:rFonts w:ascii="Baskerville Old Face" w:hAnsi="Baskerville Old Face"/>
          <w:b/>
          <w:sz w:val="24"/>
        </w:rPr>
        <w:t>:</w:t>
      </w:r>
    </w:p>
    <w:p w:rsidR="00E617BD" w:rsidRDefault="00E617BD" w:rsidP="00E617BD">
      <w:pPr>
        <w:rPr>
          <w:rFonts w:ascii="Baskerville Old Face" w:hAnsi="Baskerville Old Face"/>
          <w:sz w:val="24"/>
        </w:rPr>
      </w:pPr>
      <w:r>
        <w:rPr>
          <w:rFonts w:ascii="Baskerville Old Face" w:hAnsi="Baskerville Old Face"/>
          <w:sz w:val="24"/>
        </w:rPr>
        <w:t xml:space="preserve">Living is done by the body, not the mind. Consider how </w:t>
      </w:r>
      <w:r w:rsidRPr="00CB5202">
        <w:rPr>
          <w:rFonts w:ascii="Baskerville Old Face" w:hAnsi="Baskerville Old Face"/>
          <w:i/>
          <w:sz w:val="24"/>
        </w:rPr>
        <w:t>Shut up and Dance</w:t>
      </w:r>
      <w:r>
        <w:rPr>
          <w:rFonts w:ascii="Baskerville Old Face" w:hAnsi="Baskerville Old Face"/>
          <w:sz w:val="24"/>
        </w:rPr>
        <w:t xml:space="preserve"> begins with a command:</w:t>
      </w:r>
      <w:r w:rsidRPr="00CB5202">
        <w:rPr>
          <w:rFonts w:ascii="Baskerville Old Face" w:hAnsi="Baskerville Old Face"/>
          <w:sz w:val="24"/>
        </w:rPr>
        <w:t xml:space="preserve"> </w:t>
      </w:r>
      <w:r>
        <w:rPr>
          <w:rFonts w:ascii="Baskerville Old Face" w:hAnsi="Baskerville Old Face"/>
          <w:sz w:val="24"/>
        </w:rPr>
        <w:t>“don’t you dare look back.” The direction refers to “look[</w:t>
      </w:r>
      <w:proofErr w:type="spellStart"/>
      <w:r>
        <w:rPr>
          <w:rFonts w:ascii="Baskerville Old Face" w:hAnsi="Baskerville Old Face"/>
          <w:sz w:val="24"/>
        </w:rPr>
        <w:t>ing</w:t>
      </w:r>
      <w:proofErr w:type="spellEnd"/>
      <w:r>
        <w:rPr>
          <w:rFonts w:ascii="Baskerville Old Face" w:hAnsi="Baskerville Old Face"/>
          <w:sz w:val="24"/>
        </w:rPr>
        <w:t>] back” figuratively, not literally, as the singer is stuck in the past—and his mind. It turns out that “look[</w:t>
      </w:r>
      <w:proofErr w:type="spellStart"/>
      <w:r>
        <w:rPr>
          <w:rFonts w:ascii="Baskerville Old Face" w:hAnsi="Baskerville Old Face"/>
          <w:sz w:val="24"/>
        </w:rPr>
        <w:t>ing</w:t>
      </w:r>
      <w:proofErr w:type="spellEnd"/>
      <w:r>
        <w:rPr>
          <w:rFonts w:ascii="Baskerville Old Face" w:hAnsi="Baskerville Old Face"/>
          <w:sz w:val="24"/>
        </w:rPr>
        <w:t xml:space="preserve">]” literally, and physically, is the solution, as the next instruction is to “keep your eyes on me.” The singer continues to resist, but is simply told to “Shut up and dance.” This makes his options clear: either </w:t>
      </w:r>
      <w:proofErr w:type="gramStart"/>
      <w:r>
        <w:rPr>
          <w:rFonts w:ascii="Baskerville Old Face" w:hAnsi="Baskerville Old Face"/>
          <w:sz w:val="24"/>
        </w:rPr>
        <w:t>think</w:t>
      </w:r>
      <w:proofErr w:type="gramEnd"/>
      <w:r>
        <w:rPr>
          <w:rFonts w:ascii="Baskerville Old Face" w:hAnsi="Baskerville Old Face"/>
          <w:sz w:val="24"/>
        </w:rPr>
        <w:t xml:space="preserve"> and do nothing or dance and live. It is only after taking the dance floor that the singer is “looked at” in return and “</w:t>
      </w:r>
      <w:proofErr w:type="spellStart"/>
      <w:proofErr w:type="gramStart"/>
      <w:r>
        <w:rPr>
          <w:rFonts w:ascii="Baskerville Old Face" w:hAnsi="Baskerville Old Face"/>
          <w:sz w:val="24"/>
        </w:rPr>
        <w:t>fe</w:t>
      </w:r>
      <w:proofErr w:type="spellEnd"/>
      <w:r>
        <w:rPr>
          <w:rFonts w:ascii="Baskerville Old Face" w:hAnsi="Baskerville Old Face"/>
          <w:sz w:val="24"/>
        </w:rPr>
        <w:t>[</w:t>
      </w:r>
      <w:proofErr w:type="spellStart"/>
      <w:proofErr w:type="gramEnd"/>
      <w:r>
        <w:rPr>
          <w:rFonts w:ascii="Baskerville Old Face" w:hAnsi="Baskerville Old Face"/>
          <w:sz w:val="24"/>
        </w:rPr>
        <w:t>els</w:t>
      </w:r>
      <w:proofErr w:type="spellEnd"/>
      <w:r>
        <w:rPr>
          <w:rFonts w:ascii="Baskerville Old Face" w:hAnsi="Baskerville Old Face"/>
          <w:sz w:val="24"/>
        </w:rPr>
        <w:t>] it in [his] chest.” You must “</w:t>
      </w:r>
      <w:proofErr w:type="spellStart"/>
      <w:proofErr w:type="gramStart"/>
      <w:r>
        <w:rPr>
          <w:rFonts w:ascii="Baskerville Old Face" w:hAnsi="Baskerville Old Face"/>
          <w:sz w:val="24"/>
        </w:rPr>
        <w:t>fe</w:t>
      </w:r>
      <w:proofErr w:type="spellEnd"/>
      <w:r>
        <w:rPr>
          <w:rFonts w:ascii="Baskerville Old Face" w:hAnsi="Baskerville Old Face"/>
          <w:sz w:val="24"/>
        </w:rPr>
        <w:t>[</w:t>
      </w:r>
      <w:proofErr w:type="gramEnd"/>
      <w:r>
        <w:rPr>
          <w:rFonts w:ascii="Baskerville Old Face" w:hAnsi="Baskerville Old Face"/>
          <w:sz w:val="24"/>
        </w:rPr>
        <w:t>el]” physically in order to feel emotionally. He not only feels new love, but also seems to see his entire future laid out before his eyes. He now “</w:t>
      </w:r>
      <w:proofErr w:type="spellStart"/>
      <w:proofErr w:type="gramStart"/>
      <w:r>
        <w:rPr>
          <w:rFonts w:ascii="Baskerville Old Face" w:hAnsi="Baskerville Old Face"/>
          <w:sz w:val="24"/>
        </w:rPr>
        <w:t>kn</w:t>
      </w:r>
      <w:proofErr w:type="spellEnd"/>
      <w:r>
        <w:rPr>
          <w:rFonts w:ascii="Baskerville Old Face" w:hAnsi="Baskerville Old Face"/>
          <w:sz w:val="24"/>
        </w:rPr>
        <w:t>[</w:t>
      </w:r>
      <w:proofErr w:type="spellStart"/>
      <w:proofErr w:type="gramEnd"/>
      <w:r>
        <w:rPr>
          <w:rFonts w:ascii="Baskerville Old Face" w:hAnsi="Baskerville Old Face"/>
          <w:sz w:val="24"/>
        </w:rPr>
        <w:t>ows</w:t>
      </w:r>
      <w:proofErr w:type="spellEnd"/>
      <w:r>
        <w:rPr>
          <w:rFonts w:ascii="Baskerville Old Face" w:hAnsi="Baskerville Old Face"/>
          <w:sz w:val="24"/>
        </w:rPr>
        <w:t xml:space="preserve">] [they] were bound to be together.” But this emotional understanding comes at the price of metal understand, as the singer found </w:t>
      </w:r>
      <w:proofErr w:type="gramStart"/>
      <w:r>
        <w:rPr>
          <w:rFonts w:ascii="Baskerville Old Face" w:hAnsi="Baskerville Old Face"/>
          <w:sz w:val="24"/>
        </w:rPr>
        <w:t>himself</w:t>
      </w:r>
      <w:proofErr w:type="gramEnd"/>
      <w:r>
        <w:rPr>
          <w:rFonts w:ascii="Baskerville Old Face" w:hAnsi="Baskerville Old Face"/>
          <w:sz w:val="24"/>
        </w:rPr>
        <w:t xml:space="preserve"> on the dance floor but doesn’t “know how it happened.” Whether “look[</w:t>
      </w:r>
      <w:proofErr w:type="spellStart"/>
      <w:r>
        <w:rPr>
          <w:rFonts w:ascii="Baskerville Old Face" w:hAnsi="Baskerville Old Face"/>
          <w:sz w:val="24"/>
        </w:rPr>
        <w:t>ing</w:t>
      </w:r>
      <w:proofErr w:type="spellEnd"/>
      <w:r>
        <w:rPr>
          <w:rFonts w:ascii="Baskerville Old Face" w:hAnsi="Baskerville Old Face"/>
          <w:sz w:val="24"/>
        </w:rPr>
        <w:t>]” or “</w:t>
      </w:r>
      <w:proofErr w:type="spellStart"/>
      <w:proofErr w:type="gramStart"/>
      <w:r>
        <w:rPr>
          <w:rFonts w:ascii="Baskerville Old Face" w:hAnsi="Baskerville Old Face"/>
          <w:sz w:val="24"/>
        </w:rPr>
        <w:t>kn</w:t>
      </w:r>
      <w:proofErr w:type="spellEnd"/>
      <w:r>
        <w:rPr>
          <w:rFonts w:ascii="Baskerville Old Face" w:hAnsi="Baskerville Old Face"/>
          <w:sz w:val="24"/>
        </w:rPr>
        <w:t>[</w:t>
      </w:r>
      <w:proofErr w:type="gramEnd"/>
      <w:r>
        <w:rPr>
          <w:rFonts w:ascii="Baskerville Old Face" w:hAnsi="Baskerville Old Face"/>
          <w:sz w:val="24"/>
        </w:rPr>
        <w:t>owing]” it is clear you can only have one: the body or the mind, the future or the past. But only the meaning attached to the body can truly be considered living. Living is a present, rather than past, tense word for a reason.</w:t>
      </w:r>
    </w:p>
    <w:p w:rsidR="00E617BD" w:rsidRDefault="00E617BD" w:rsidP="00E617BD">
      <w:pPr>
        <w:rPr>
          <w:rFonts w:ascii="Baskerville Old Face" w:hAnsi="Baskerville Old Face"/>
          <w:b/>
          <w:sz w:val="24"/>
        </w:rPr>
      </w:pPr>
      <w:r>
        <w:rPr>
          <w:rFonts w:ascii="Baskerville Old Face" w:hAnsi="Baskerville Old Face"/>
          <w:b/>
          <w:sz w:val="24"/>
        </w:rPr>
        <w:t>Conclusion:</w:t>
      </w:r>
    </w:p>
    <w:p w:rsidR="0056504E" w:rsidRDefault="0056504E" w:rsidP="00E617BD">
      <w:pPr>
        <w:rPr>
          <w:rFonts w:ascii="Baskerville Old Face" w:hAnsi="Baskerville Old Face"/>
          <w:sz w:val="24"/>
        </w:rPr>
      </w:pPr>
      <w:r>
        <w:rPr>
          <w:rFonts w:ascii="Baskerville Old Face" w:hAnsi="Baskerville Old Face"/>
          <w:sz w:val="24"/>
        </w:rPr>
        <w:t xml:space="preserve">Letting go of control is not only necessary to live your life, but it was necessary for Walk the Moon to write these lyrics. Nicholas </w:t>
      </w:r>
      <w:proofErr w:type="spellStart"/>
      <w:r>
        <w:rPr>
          <w:rFonts w:ascii="Baskerville Old Face" w:hAnsi="Baskerville Old Face"/>
          <w:sz w:val="24"/>
        </w:rPr>
        <w:t>Petricca</w:t>
      </w:r>
      <w:proofErr w:type="spellEnd"/>
      <w:r>
        <w:rPr>
          <w:rFonts w:ascii="Baskerville Old Face" w:hAnsi="Baskerville Old Face"/>
          <w:sz w:val="24"/>
        </w:rPr>
        <w:t>, the lead singer, found himself “in [his] head and not with it”</w:t>
      </w:r>
      <w:r w:rsidR="00FC390D">
        <w:rPr>
          <w:rFonts w:ascii="Baskerville Old Face" w:hAnsi="Baskerville Old Face"/>
          <w:sz w:val="24"/>
        </w:rPr>
        <w:t xml:space="preserve"> (Americansongwriter.com).</w:t>
      </w:r>
      <w:r>
        <w:rPr>
          <w:rFonts w:ascii="Baskerville Old Face" w:hAnsi="Baskerville Old Face"/>
          <w:sz w:val="24"/>
        </w:rPr>
        <w:t xml:space="preserve"> It was up to a girl in “a backless dress and some beat-up sneaks” to “pull [him] out into the moment</w:t>
      </w:r>
      <w:r w:rsidR="001423E8">
        <w:rPr>
          <w:rFonts w:ascii="Baskerville Old Face" w:hAnsi="Baskerville Old Face"/>
          <w:sz w:val="24"/>
        </w:rPr>
        <w:t>.” And that’s what the song is about: “Encouraging people to let go of whatever it is that’s bothering you and get into your body and out of your head”</w:t>
      </w:r>
      <w:r w:rsidR="00FC390D">
        <w:rPr>
          <w:rFonts w:ascii="Baskerville Old Face" w:hAnsi="Baskerville Old Face"/>
          <w:sz w:val="24"/>
        </w:rPr>
        <w:t xml:space="preserve"> (Americansongwriter.com).</w:t>
      </w:r>
      <w:r w:rsidR="001423E8">
        <w:rPr>
          <w:rFonts w:ascii="Baskerville Old Face" w:hAnsi="Baskerville Old Face"/>
          <w:sz w:val="24"/>
        </w:rPr>
        <w:t xml:space="preserve"> Moreover, that’s what the song does. It gets listeners out of their heads and onto the dance floor. </w:t>
      </w:r>
      <w:proofErr w:type="spellStart"/>
      <w:r w:rsidR="001423E8">
        <w:rPr>
          <w:rFonts w:ascii="Baskerville Old Face" w:hAnsi="Baskerville Old Face"/>
          <w:sz w:val="24"/>
        </w:rPr>
        <w:t>Petricca</w:t>
      </w:r>
      <w:proofErr w:type="spellEnd"/>
      <w:r w:rsidR="001423E8">
        <w:rPr>
          <w:rFonts w:ascii="Baskerville Old Face" w:hAnsi="Baskerville Old Face"/>
          <w:sz w:val="24"/>
        </w:rPr>
        <w:t xml:space="preserve"> views us a generation that is “</w:t>
      </w:r>
      <w:r w:rsidR="00FC390D">
        <w:rPr>
          <w:rFonts w:ascii="Baskerville Old Face" w:hAnsi="Baskerville Old Face"/>
          <w:sz w:val="24"/>
        </w:rPr>
        <w:t>scared to express ourselves” and “find it hard to hold a conversation with people across the table” (Billboard.com) But it turns out, the trick is not talk at all. It’s to shut up and dance.</w:t>
      </w:r>
    </w:p>
    <w:p w:rsidR="00CA5536" w:rsidRPr="00CA5536" w:rsidRDefault="00CA5536" w:rsidP="00CA5536">
      <w:pPr>
        <w:rPr>
          <w:rFonts w:ascii="Baskerville Old Face" w:hAnsi="Baskerville Old Face"/>
          <w:sz w:val="24"/>
        </w:rPr>
      </w:pPr>
    </w:p>
    <w:sectPr w:rsidR="00CA5536" w:rsidRPr="00CA5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244D3"/>
    <w:multiLevelType w:val="hybridMultilevel"/>
    <w:tmpl w:val="187C946A"/>
    <w:lvl w:ilvl="0" w:tplc="F1001A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E4F1D58"/>
    <w:multiLevelType w:val="hybridMultilevel"/>
    <w:tmpl w:val="00AC168A"/>
    <w:lvl w:ilvl="0" w:tplc="F1001A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F14296D"/>
    <w:multiLevelType w:val="hybridMultilevel"/>
    <w:tmpl w:val="0A6AB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536"/>
    <w:rsid w:val="001423E8"/>
    <w:rsid w:val="001629C3"/>
    <w:rsid w:val="002456DA"/>
    <w:rsid w:val="0031451A"/>
    <w:rsid w:val="00317CA0"/>
    <w:rsid w:val="0056504E"/>
    <w:rsid w:val="008E67BB"/>
    <w:rsid w:val="00A73DA7"/>
    <w:rsid w:val="00A93C55"/>
    <w:rsid w:val="00B77262"/>
    <w:rsid w:val="00CA5536"/>
    <w:rsid w:val="00CB5202"/>
    <w:rsid w:val="00E617BD"/>
    <w:rsid w:val="00FC3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5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44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2015-04-22T16:30:00Z</cp:lastPrinted>
  <dcterms:created xsi:type="dcterms:W3CDTF">2015-04-24T01:05:00Z</dcterms:created>
  <dcterms:modified xsi:type="dcterms:W3CDTF">2015-04-24T01:05:00Z</dcterms:modified>
</cp:coreProperties>
</file>